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core.xml" ContentType="application/vnd.openxmlformats-package.core-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1" Type="http://schemas.openxmlformats.org/officeDocument/2006/relationships/extended-properties" Target="docProps/app.xml"/><Relationship Id="rId2" Type="http://schemas.openxmlformats.org/package/2006/relationships/metadata/core-properties" Target="docProps/core.xml"/><Relationship Id="rId3"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space="preserve">
  <w:body>
    <w:p>
      <w:pPr>
        <w:pStyle w:val="Heading1"/>
        <w:spacing w:before="79"/>
        <w:ind w:left="8400" w:hanging="994"/>
        <w:jc w:val="right"/>
      </w:pPr>
      <w:r>
        <w:rPr/>
        <w:t>ADOPTED – OCTOBER 27, 2026 AGENDA ITEM NO. 30</w:t>
      </w:r>
    </w:p>
    <w:p>
      <w:pPr>
        <w:pStyle w:val="BodyText"/>
        <w:spacing w:before="7"/>
        <w:rPr>
          <w:b/>
          <w:sz w:val="16"/>
        </w:rPr>
      </w:pPr>
    </w:p>
    <w:p>
      <w:pPr>
        <w:pStyle w:val="BodyText"/>
        <w:spacing w:before="90"/>
        <w:ind w:left="120"/>
      </w:pPr>
      <w:r>
        <w:rPr/>
        <w:t>Introduced by the Law &amp; Courts and Finance Committees of the:</w:t>
      </w:r>
    </w:p>
    <w:p>
      <w:pPr>
        <w:pStyle w:val="BodyText"/>
      </w:pPr>
    </w:p>
    <w:p>
      <w:pPr>
        <w:pStyle w:val="BodyText"/>
        <w:ind w:left="218" w:right="202"/>
        <w:jc w:val="center"/>
      </w:pPr>
      <w:r>
        <w:rPr/>
        <w:t>INGHAM COUNTY BOARD OF COMMISSIONERS</w:t>
      </w:r>
    </w:p>
    <w:p>
      <w:pPr>
        <w:pStyle w:val="BodyText"/>
      </w:pPr>
    </w:p>
    <w:p>
      <w:pPr>
        <w:pStyle w:val="Heading1"/>
        <w:ind w:right="202"/>
      </w:pPr>
      <w:r>
        <w:rPr/>
        <w:t>RESOLUTION TO CORRECT THE 2026 ELECTRONIC MONITORING BUDGET ALLOCATION, AUTHORIZE ADDITIONAL JUSTICE MILLAGE FUNDS FOR INDIGENT ELECTRONIC MONITORING CLIENTS TO MAINTAIN SERVICES THROUGH DECEMBER 31, 2026, AND PROVIDE NOTICE TO JUDICIAL SERVICES GROUP, LTD. THAT ADDITIONAL FUNDS ARE AVAILABLE</w:t>
      </w:r>
    </w:p>
    <w:p>
      <w:pPr>
        <w:pStyle w:val="BodyText"/>
        <w:rPr>
          <w:b/>
        </w:rPr>
      </w:pPr>
    </w:p>
    <w:p>
      <w:pPr>
        <w:spacing w:before="0"/>
        <w:ind w:left="220" w:right="200" w:firstLine="0"/>
        <w:jc w:val="center"/>
        <w:rPr>
          <w:b/>
          <w:sz w:val="24"/>
        </w:rPr>
      </w:pPr>
      <w:r>
        <w:rPr>
          <w:b/>
          <w:sz w:val="24"/>
        </w:rPr>
        <w:t>RESOLUTION #26 – 541</w:t>
      </w:r>
    </w:p>
    <w:p>
      <w:pPr>
        <w:pStyle w:val="BodyText"/>
        <w:rPr>
          <w:b/>
          <w:sz w:val="26"/>
        </w:rPr>
      </w:pPr>
    </w:p>
    <w:p>
      <w:pPr>
        <w:pStyle w:val="BodyText"/>
        <w:spacing w:before="8"/>
        <w:rPr>
          <w:b/>
          <w:sz w:val="20"/>
        </w:rPr>
      </w:pPr>
    </w:p>
    <w:p>
      <w:pPr>
        <w:pStyle w:val="BodyText"/>
        <w:ind w:left="120" w:right="196"/>
      </w:pPr>
      <w:r>
        <w:rPr/>
        <w:t>WHEREAS, Resolution #24-573 adopted November 26</w:t>
      </w:r>
      <w:r>
        <w:rPr>
          <w:position w:val="9"/>
          <w:sz w:val="16"/>
        </w:rPr>
        <w:t>th</w:t>
      </w:r>
      <w:r>
        <w:rPr/>
        <w:t>, 2024 by the Board of Commissioners authorized entering a contract with Judicial Services Group, Ltd. (JSG) to provide electronic monitoring (EM) services for indigent users for an initial five-year performance period effective December 31, 2024 through December 31, 2029 followed by three one-year automatic renewal periods not to extend beyond December 31, 2032; and</w:t>
      </w:r>
    </w:p>
    <w:p>
      <w:pPr>
        <w:pStyle w:val="BodyText"/>
        <w:spacing w:before="9"/>
        <w:rPr>
          <w:sz w:val="23"/>
        </w:rPr>
      </w:pPr>
    </w:p>
    <w:p>
      <w:pPr>
        <w:pStyle w:val="BodyText"/>
        <w:ind w:left="119" w:right="91"/>
      </w:pPr>
      <w:r>
        <w:rPr/>
        <w:t>WHEREAS, this contract provides that upon exhaustion of the annual budgeted $500,000 and subsequently approved additional funds during any given year, JSG is required to cease performing services for the remainder of the year, unless or until JSG is notified in writing that additional funding is available to continue services for indigent users; and</w:t>
      </w:r>
    </w:p>
    <w:p>
      <w:pPr>
        <w:pStyle w:val="BodyText"/>
      </w:pPr>
    </w:p>
    <w:p>
      <w:pPr>
        <w:pStyle w:val="BodyText"/>
        <w:ind w:left="119" w:right="437"/>
      </w:pPr>
      <w:r>
        <w:rPr/>
        <w:t>WHEREAS, during preparation of the Fiscal Year 2026 budget, $400,000 was allocated for EM services, reflecting the annual amount under the previous contract rather than the $500,000 annual amount established under the current agreement; and</w:t>
      </w:r>
    </w:p>
    <w:p>
      <w:pPr>
        <w:pStyle w:val="BodyText"/>
      </w:pPr>
    </w:p>
    <w:p>
      <w:pPr>
        <w:pStyle w:val="BodyText"/>
        <w:ind w:left="119"/>
      </w:pPr>
      <w:r>
        <w:rPr/>
        <w:t>WHEREAS, an additional $100,000 budget adjustment is therefore necessary to align the FY26 budget with the</w:t>
      </w:r>
    </w:p>
    <w:p>
      <w:pPr>
        <w:pStyle w:val="BodyText"/>
        <w:ind w:left="119"/>
      </w:pPr>
      <w:r>
        <w:rPr/>
        <w:t>$500,000 annual contractual amount; and</w:t>
      </w:r>
    </w:p>
    <w:p>
      <w:pPr>
        <w:pStyle w:val="BodyText"/>
      </w:pPr>
    </w:p>
    <w:p>
      <w:pPr>
        <w:pStyle w:val="BodyText"/>
        <w:ind w:left="120" w:right="596"/>
      </w:pPr>
      <w:r>
        <w:rPr/>
        <w:t>WHEREAS, increased rates of indigency and associated increased utilization have resulted in expenditures projected to exceed the $500,000 annual contractual amount by up to $275,000; and</w:t>
      </w:r>
    </w:p>
    <w:p>
      <w:pPr>
        <w:pStyle w:val="BodyText"/>
      </w:pPr>
    </w:p>
    <w:p>
      <w:pPr>
        <w:pStyle w:val="BodyText"/>
        <w:ind w:left="120"/>
      </w:pPr>
      <w:r>
        <w:rPr/>
        <w:t>WHEREAS, EM has proven to be both effective and cost-efficient as an alternative to incarceration; and</w:t>
      </w:r>
    </w:p>
    <w:p>
      <w:pPr>
        <w:pStyle w:val="BodyText"/>
      </w:pPr>
    </w:p>
    <w:p>
      <w:pPr>
        <w:pStyle w:val="BodyText"/>
        <w:ind w:left="119" w:right="116"/>
      </w:pPr>
      <w:r>
        <w:rPr/>
        <w:t>WHEREAS, a total FY26 budget adjustment of $375,000 from the Justice Millage fund balance is needed, consisting of $100,000 to correct the FY26 budget allocation and up to $275,000 in additional funding to ensure that EM services continue through December 31, 2026.</w:t>
      </w:r>
    </w:p>
    <w:p>
      <w:pPr>
        <w:pStyle w:val="BodyText"/>
      </w:pPr>
    </w:p>
    <w:p>
      <w:pPr>
        <w:pStyle w:val="BodyText"/>
        <w:ind w:left="119"/>
      </w:pPr>
      <w:r>
        <w:rPr/>
        <w:t>THEREFORE BE IT RESOLVED, that the Ingham County Board of Commissioners hereby authorizes an adjustment to the 2026 Electronic Monitoring budget totaling $375,000, consisting of $100,000 to increase the existing budget allocation from $400,000 to the $500,000 annual amount established under the current contract and additional funds in an amount not to exceed $275,000, resulting in an overall 2026 total of $775,000.</w:t>
      </w:r>
    </w:p>
    <w:p>
      <w:pPr>
        <w:spacing w:after="0"/>
        <w:sectPr>
          <w:type w:val="continuous"/>
          <w:pgSz w:w="12240" w:h="15840"/>
          <w:pgMar w:top="1360" w:bottom="280" w:left="600" w:right="620"/>
        </w:sectPr>
      </w:pPr>
    </w:p>
    <w:p>
      <w:pPr>
        <w:pStyle w:val="BodyText"/>
        <w:spacing w:before="79"/>
        <w:ind w:left="120" w:right="113"/>
      </w:pPr>
      <w:r>
        <w:rPr/>
        <w:t>BE IT FURTHER RESOLVED, that the Board authorizes providing Judicial Services Group, Ltd. written notice that additional funds in an amount not to exceed $275,000 above the annual $500,000 contractual amount are available for EM services through December 31,</w:t>
      </w:r>
      <w:r>
        <w:rPr>
          <w:spacing w:val="-5"/>
        </w:rPr>
        <w:t> </w:t>
      </w:r>
      <w:r>
        <w:rPr/>
        <w:t>2026.</w:t>
      </w:r>
    </w:p>
    <w:p>
      <w:pPr>
        <w:pStyle w:val="BodyText"/>
      </w:pPr>
    </w:p>
    <w:p>
      <w:pPr>
        <w:pStyle w:val="BodyText"/>
        <w:ind w:left="120"/>
      </w:pPr>
      <w:r>
        <w:rPr/>
        <w:t>BE IT FURTHER RESOLVED, that the $375,000 budget adjustment will come from the Justice Millage fund balance.</w:t>
      </w:r>
    </w:p>
    <w:p>
      <w:pPr>
        <w:pStyle w:val="BodyText"/>
      </w:pPr>
    </w:p>
    <w:p>
      <w:pPr>
        <w:pStyle w:val="BodyText"/>
        <w:ind w:left="120" w:right="1061"/>
      </w:pPr>
      <w:r>
        <w:rPr/>
        <w:t>BE IT FURTHER RESOLVED, that the Controller/Administrator is authorized to make the necessary adjustments to the 2026 budget.</w:t>
      </w:r>
    </w:p>
    <w:p>
      <w:pPr>
        <w:pStyle w:val="BodyText"/>
      </w:pPr>
    </w:p>
    <w:p>
      <w:pPr>
        <w:pStyle w:val="BodyText"/>
        <w:ind w:left="120" w:right="995"/>
      </w:pPr>
      <w:r>
        <w:rPr/>
        <w:t>BE IT FURTHER RESOLVED, that the Board Chairperson is hereby authorized to sign any necessary documents consistent with this resolution and upon approval as to form by the County Attorney.</w:t>
      </w:r>
    </w:p>
    <w:p>
      <w:pPr>
        <w:pStyle w:val="BodyText"/>
      </w:pPr>
    </w:p>
    <w:p>
      <w:pPr>
        <w:spacing w:before="0"/>
        <w:ind w:left="120" w:right="0" w:firstLine="0"/>
        <w:jc w:val="left"/>
        <w:rPr>
          <w:sz w:val="24"/>
        </w:rPr>
      </w:pPr>
      <w:r>
        <w:rPr>
          <w:b/>
          <w:sz w:val="24"/>
        </w:rPr>
        <w:t>LAW &amp; COURTS: Yeas</w:t>
      </w:r>
      <w:r>
        <w:rPr>
          <w:sz w:val="24"/>
        </w:rPr>
        <w:t>: Polsdofer, Willis, Peña, Cahill, Lawrence</w:t>
      </w:r>
    </w:p>
    <w:p>
      <w:pPr>
        <w:tabs>
          <w:tab w:pos="2231" w:val="left" w:leader="none"/>
          <w:tab w:pos="5889" w:val="left" w:leader="none"/>
        </w:tabs>
        <w:spacing w:before="0"/>
        <w:ind w:left="720" w:right="0" w:firstLine="0"/>
        <w:jc w:val="left"/>
        <w:rPr>
          <w:b/>
          <w:sz w:val="24"/>
        </w:rPr>
      </w:pPr>
      <w:r>
        <w:rPr>
          <w:b/>
          <w:sz w:val="24"/>
        </w:rPr>
        <w:t>Nays</w:t>
      </w:r>
      <w:r>
        <w:rPr>
          <w:sz w:val="24"/>
        </w:rPr>
        <w:t>:</w:t>
      </w:r>
      <w:r>
        <w:rPr>
          <w:spacing w:val="59"/>
          <w:sz w:val="24"/>
        </w:rPr>
        <w:t> </w:t>
      </w:r>
      <w:r>
        <w:rPr>
          <w:sz w:val="24"/>
        </w:rPr>
        <w:t>None</w:t>
        <w:tab/>
      </w:r>
      <w:r>
        <w:rPr>
          <w:b/>
          <w:sz w:val="24"/>
        </w:rPr>
        <w:t>Absent:  </w:t>
      </w:r>
      <w:r>
        <w:rPr>
          <w:sz w:val="24"/>
        </w:rPr>
        <w:t>Trubac,</w:t>
      </w:r>
      <w:r>
        <w:rPr>
          <w:spacing w:val="-5"/>
          <w:sz w:val="24"/>
        </w:rPr>
        <w:t> </w:t>
      </w:r>
      <w:r>
        <w:rPr>
          <w:sz w:val="24"/>
        </w:rPr>
        <w:t>Johnson,</w:t>
      </w:r>
      <w:r>
        <w:rPr>
          <w:spacing w:val="-1"/>
          <w:sz w:val="24"/>
        </w:rPr>
        <w:t> </w:t>
      </w:r>
      <w:r>
        <w:rPr>
          <w:sz w:val="24"/>
        </w:rPr>
        <w:t>Schafer</w:t>
        <w:tab/>
      </w:r>
      <w:r>
        <w:rPr>
          <w:b/>
          <w:sz w:val="24"/>
        </w:rPr>
        <w:t>Approved  10/15/26</w:t>
      </w:r>
    </w:p>
    <w:p>
      <w:pPr>
        <w:pStyle w:val="BodyText"/>
        <w:rPr>
          <w:b/>
        </w:rPr>
      </w:pPr>
    </w:p>
    <w:p>
      <w:pPr>
        <w:spacing w:before="0"/>
        <w:ind w:left="119" w:right="0" w:firstLine="0"/>
        <w:jc w:val="left"/>
        <w:rPr>
          <w:sz w:val="24"/>
        </w:rPr>
      </w:pPr>
      <w:r>
        <w:rPr>
          <w:b/>
          <w:sz w:val="24"/>
        </w:rPr>
        <w:t>FINANCE: Yeas: </w:t>
      </w:r>
      <w:r>
        <w:rPr>
          <w:sz w:val="24"/>
        </w:rPr>
        <w:t>Grebner, Morgan, Sebolt, Polsdofer, Pratt, Maiville</w:t>
      </w:r>
    </w:p>
    <w:p>
      <w:pPr>
        <w:tabs>
          <w:tab w:pos="2183" w:val="left" w:leader="none"/>
        </w:tabs>
        <w:spacing w:before="41"/>
        <w:ind w:left="720" w:right="0" w:firstLine="0"/>
        <w:jc w:val="left"/>
        <w:rPr>
          <w:b/>
          <w:sz w:val="24"/>
        </w:rPr>
      </w:pPr>
      <w:r>
        <w:rPr>
          <w:b/>
          <w:sz w:val="24"/>
        </w:rPr>
        <w:t>Nays:</w:t>
      </w:r>
      <w:r>
        <w:rPr>
          <w:b/>
          <w:spacing w:val="58"/>
          <w:sz w:val="24"/>
        </w:rPr>
        <w:t> </w:t>
      </w:r>
      <w:r>
        <w:rPr>
          <w:sz w:val="24"/>
        </w:rPr>
        <w:t>None</w:t>
        <w:tab/>
      </w:r>
      <w:r>
        <w:rPr>
          <w:b/>
          <w:sz w:val="24"/>
        </w:rPr>
        <w:t>Absent: </w:t>
      </w:r>
      <w:r>
        <w:rPr>
          <w:sz w:val="24"/>
        </w:rPr>
        <w:t>Tennis </w:t>
      </w:r>
      <w:r>
        <w:rPr>
          <w:b/>
          <w:sz w:val="24"/>
        </w:rPr>
        <w:t>Approved</w:t>
      </w:r>
      <w:r>
        <w:rPr>
          <w:b/>
          <w:spacing w:val="1"/>
          <w:sz w:val="24"/>
        </w:rPr>
        <w:t> </w:t>
      </w:r>
      <w:r>
        <w:rPr>
          <w:b/>
          <w:sz w:val="24"/>
        </w:rPr>
        <w:t>10/21/26</w:t>
      </w:r>
    </w:p>
    <w:sectPr>
      <w:pgSz w:w="12240" w:h="15840"/>
      <w:pgMar w:top="1360" w:bottom="280" w:left="600" w:right="620"/>
    </w:sectPr>
  </w:body>
</w:document>
</file>

<file path=word/fontTable.xml><?xml version="1.0" encoding="utf-8"?>
<w:fonts xmlns:r="http://schemas.openxmlformats.org/officeDocument/2006/relationships" xmlns:w="http://schemas.openxmlformats.org/wordprocessingml/2006/main">
  <w:font w:name="Times New Roman">
    <w:altName w:val="Times New Roman"/>
    <w:charset w:val="0"/>
    <w:family w:val="roman"/>
    <w:pitch w:val="variable"/>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0"/>
  <w:defaultTabStop w:val="720"/>
  <w:drawingGridHorizontalSpacing w:val="110"/>
  <w:displayHorizontalDrawingGridEvery w:val="2"/>
  <w:characterSpacingControl w:val="doNotCompress"/>
  <w:compat>
    <w:ulTrailSpace/>
    <w:shapeLayoutLikeWW8/>
    <w:useFELayout/>
  </w:compat>
</w:settings>
</file>

<file path=word/styles.xml><?xml version="1.0" encoding="utf-8"?>
<w:styles xmlns:r="http://schemas.openxmlformats.org/officeDocument/2006/relationships" xmlns:w="http://schemas.openxmlformats.org/wordprocessingml/2006/main">
  <w:docDefaults>
    <w:rPrDefault>
      <w:rPr>
        <w:rFonts w:cstheme="minorBidi" w:hAnsiTheme="minorHAnsi" w:eastAsiaTheme="minorHAnsi" w:asciiTheme="minorHAnsi"/>
        <w:sz w:val="22"/>
        <w:szCs w:val="22"/>
        <w:lang w:val="en-US" w:bidi="ar-SA" w:eastAsia="en-US"/>
      </w:rPr>
    </w:rPrDefault>
    <w:pPrDefault>
      <w:pPr>
        <w:widowControl w:val="0"/>
        <w:autoSpaceDE w:val="0"/>
        <w:autoSpaceDN w:val="0"/>
        <w:spacing w:lineRule="auto" w:line="240" w:before="0" w:after="0"/>
        <w:ind w:left="0" w:right="0"/>
        <w:jc w:val="left"/>
      </w:pPr>
    </w:pPrDefault>
  </w:docDefaults>
  <w:style w:styleId="DefaultParagraphFont" w:default="1" w:type="character">
    <w:name w:val="Default Paragraph Font"/>
    <w:uiPriority w:val="1"/>
    <w:semiHidden/>
    <w:unhideWhenUsed/>
  </w:style>
  <w:style w:styleId="TableNormal" w:default="1" w:type="table">
    <w:name w:val="Table Normal"/>
    <w:uiPriority w:val="2"/>
    <w:semiHidden/>
    <w:unhideWhenUsed/>
    <w:qFormat/>
    <w:tblPr>
      <w:tblInd w:w="0" w:type="dxa"/>
      <w:tblCellMar>
        <w:top w:w="0" w:type="dxa"/>
        <w:left w:w="0" w:type="dxa"/>
        <w:bottom w:w="0" w:type="dxa"/>
        <w:right w:w="0" w:type="dxa"/>
      </w:tblCellMar>
    </w:tblPr>
  </w:style>
  <w:style w:styleId="NoList" w:default="1" w:type="numbering">
    <w:name w:val="No List"/>
    <w:uiPriority w:val="99"/>
    <w:semiHidden/>
    <w:unhideWhenUsed/>
  </w:style>
  <w:style w:default="1" w:styleId="Normal" w:type="paragraph">
    <w:name w:val="Normal"/>
    <w:uiPriority w:val="1"/>
    <w:qFormat/>
    <w:pPr/>
    <w:rPr>
      <w:rFonts w:ascii="Times New Roman" w:hAnsi="Times New Roman" w:eastAsia="Times New Roman" w:cs="Times New Roman"/>
    </w:rPr>
  </w:style>
  <w:style w:styleId="BodyText" w:type="paragraph">
    <w:name w:val="Body Text"/>
    <w:basedOn w:val="Normal"/>
    <w:uiPriority w:val="1"/>
    <w:qFormat/>
    <w:pPr/>
    <w:rPr>
      <w:rFonts w:ascii="Times New Roman" w:hAnsi="Times New Roman" w:eastAsia="Times New Roman" w:cs="Times New Roman"/>
      <w:sz w:val="24"/>
      <w:szCs w:val="24"/>
    </w:rPr>
  </w:style>
  <w:style w:styleId="Heading1" w:type="paragraph">
    <w:name w:val="Heading 1"/>
    <w:basedOn w:val="Normal"/>
    <w:uiPriority w:val="1"/>
    <w:qFormat/>
    <w:pPr>
      <w:ind w:left="220" w:right="98"/>
      <w:jc w:val="center"/>
      <w:outlineLvl w:val="1"/>
    </w:pPr>
    <w:rPr>
      <w:rFonts w:ascii="Times New Roman" w:hAnsi="Times New Roman" w:eastAsia="Times New Roman" w:cs="Times New Roman"/>
      <w:b/>
      <w:bCs/>
      <w:sz w:val="24"/>
      <w:szCs w:val="24"/>
    </w:rPr>
  </w:style>
  <w:style w:styleId="ListParagraph" w:type="paragraph">
    <w:name w:val="List Paragraph"/>
    <w:basedOn w:val="Normal"/>
    <w:uiPriority w:val="1"/>
    <w:qFormat/>
    <w:pPr/>
    <w:rPr/>
  </w:style>
  <w:style w:styleId="TableParagraph" w:type="paragraph">
    <w:name w:val="Table Paragraph"/>
    <w:basedOn w:val="Normal"/>
    <w:uiPriority w:val="1"/>
    <w:qFormat/>
    <w:pPr/>
    <w:r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theme" Target="theme/theme1.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Application>Microsoft Office Word</Application>
  <DocSecurity>0</DocSecurity>
  <ScaleCrop>false</ScaleCrop>
  <LinksUpToDate>false</LinksUpToDate>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Heather Barry</dc:creator>
  <dcterms:created xsi:type="dcterms:W3CDTF">2026-10-28T18:53:37Z</dcterms:created>
  <dcterms:modified xsi:type="dcterms:W3CDTF">2026-10-28T18:53:37Z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2026-10-28T00:00:00Z</vt:filetime>
  </property>
  <property fmtid="{D5CDD505-2E9C-101B-9397-08002B2CF9AE}" pid="3" name="Creator">
    <vt:lpwstr>Acrobat PDFMaker 20 for Word</vt:lpwstr>
  </property>
  <property fmtid="{D5CDD505-2E9C-101B-9397-08002B2CF9AE}" pid="4" name="LastSaved">
    <vt:filetime>2026-10-28T00:00:00Z</vt:filetime>
  </property>
</Properties>
</file>